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AD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附件1：</w:t>
      </w:r>
    </w:p>
    <w:p w14:paraId="05A8C5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p>
    <w:p w14:paraId="058659A3">
      <w:pPr>
        <w:pStyle w:val="6"/>
        <w:spacing w:beforeLines="0" w:afterLines="0" w:line="52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《南昌市农业行政处罚自由裁量基准（2025年版</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的</w:t>
      </w:r>
      <w:r>
        <w:rPr>
          <w:rFonts w:hint="eastAsia" w:ascii="方正小标宋简体" w:hAnsi="方正小标宋简体" w:eastAsia="方正小标宋简体" w:cs="方正小标宋简体"/>
          <w:b w:val="0"/>
          <w:bCs w:val="0"/>
          <w:color w:val="auto"/>
          <w:sz w:val="44"/>
          <w:szCs w:val="44"/>
          <w:highlight w:val="none"/>
        </w:rPr>
        <w:t>起草说明</w:t>
      </w:r>
    </w:p>
    <w:p w14:paraId="60669FE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Times New Roman" w:eastAsia="仿宋_GB2312" w:cs="Times New Roman"/>
          <w:color w:val="auto"/>
          <w:sz w:val="32"/>
          <w:szCs w:val="32"/>
          <w:highlight w:val="none"/>
          <w:lang w:val="zh-CN"/>
        </w:rPr>
      </w:pPr>
    </w:p>
    <w:p w14:paraId="496FCAE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仿宋_GB2312" w:hAnsi="Times New Roman" w:eastAsia="仿宋_GB2312" w:cs="Times New Roman"/>
          <w:color w:val="auto"/>
          <w:sz w:val="32"/>
          <w:szCs w:val="32"/>
          <w:highlight w:val="none"/>
          <w:lang w:val="zh-CN"/>
        </w:rPr>
      </w:pPr>
      <w:r>
        <w:rPr>
          <w:rFonts w:hint="default" w:ascii="仿宋_GB2312" w:hAnsi="Times New Roman" w:eastAsia="仿宋_GB2312" w:cs="Times New Roman"/>
          <w:color w:val="auto"/>
          <w:sz w:val="32"/>
          <w:szCs w:val="32"/>
          <w:highlight w:val="none"/>
          <w:lang w:val="zh-CN"/>
        </w:rPr>
        <w:t>为深入贯彻落实党中央、国务院关于全面推进依法行政、规范行政执法行为的决策部署，进一步优化农业行政执法环境，提升全市农业行政执法工作的规范化、精细化、透明化水平，保障行政处罚的公平公正，切实维护行政相对人合法权益，根据有关法律、法规、规章及规范性文件要求，结合我市农业行政执法实际，我局组织起草了《南昌市农业行政处罚自由裁量基准（2025年版）》（以下简称《裁量基准》）。现将有关起草情况说明如下：</w:t>
      </w:r>
    </w:p>
    <w:p w14:paraId="30336DF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一、 起草背景</w:t>
      </w:r>
    </w:p>
    <w:p w14:paraId="5A63E603">
      <w:pPr>
        <w:ind w:firstLine="643" w:firstLineChars="200"/>
        <w:rPr>
          <w:rFonts w:hint="default" w:ascii="仿宋_GB2312" w:hAnsi="Times New Roman" w:eastAsia="仿宋_GB2312" w:cs="Times New Roman"/>
          <w:color w:val="auto"/>
          <w:sz w:val="32"/>
          <w:szCs w:val="32"/>
          <w:highlight w:val="none"/>
          <w:lang w:val="zh-CN"/>
        </w:rPr>
      </w:pPr>
      <w:r>
        <w:rPr>
          <w:rFonts w:hint="default" w:ascii="楷体_GB2312" w:hAnsi="楷体_GB2312" w:eastAsia="楷体_GB2312" w:cs="楷体_GB2312"/>
          <w:b/>
          <w:bCs/>
          <w:color w:val="auto"/>
          <w:sz w:val="32"/>
          <w:szCs w:val="32"/>
          <w:highlight w:val="none"/>
          <w:lang w:val="zh-CN"/>
        </w:rPr>
        <w:t>（一）落实法治政府建设的内在要求</w:t>
      </w:r>
      <w:r>
        <w:rPr>
          <w:rFonts w:hint="eastAsia" w:ascii="楷体_GB2312" w:hAnsi="楷体_GB2312" w:eastAsia="楷体_GB2312" w:cs="楷体_GB2312"/>
          <w:b/>
          <w:bCs/>
          <w:color w:val="auto"/>
          <w:sz w:val="32"/>
          <w:szCs w:val="32"/>
          <w:highlight w:val="none"/>
          <w:lang w:val="zh-CN"/>
        </w:rPr>
        <w:t>。</w:t>
      </w:r>
      <w:r>
        <w:rPr>
          <w:rFonts w:hint="default" w:ascii="仿宋_GB2312" w:hAnsi="Times New Roman" w:eastAsia="仿宋_GB2312" w:cs="Times New Roman"/>
          <w:color w:val="auto"/>
          <w:sz w:val="32"/>
          <w:szCs w:val="32"/>
          <w:highlight w:val="none"/>
          <w:lang w:val="zh-CN"/>
        </w:rPr>
        <w:t>规范行政处罚自由裁量权，是深化“放管服”改革、优化营商环境、推进法治政府建设的重要举措。制定科学合理的裁量基准，有助于防止执法随意性，减少“同案不同罚”、“畸轻畸重”等现象，确保行政处罚权在法治轨道上运行。</w:t>
      </w:r>
    </w:p>
    <w:p w14:paraId="2C75E51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Times New Roman" w:eastAsia="仿宋_GB2312" w:cs="Times New Roman"/>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w:t>
      </w: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val="zh-CN"/>
        </w:rPr>
        <w:t>）</w:t>
      </w:r>
      <w:r>
        <w:rPr>
          <w:rFonts w:hint="default" w:ascii="楷体_GB2312" w:hAnsi="楷体_GB2312" w:eastAsia="楷体_GB2312" w:cs="楷体_GB2312"/>
          <w:b/>
          <w:bCs/>
          <w:color w:val="auto"/>
          <w:sz w:val="32"/>
          <w:szCs w:val="32"/>
          <w:highlight w:val="none"/>
          <w:lang w:val="zh-CN"/>
        </w:rPr>
        <w:t>适应农业法律法规发展变化的需要</w:t>
      </w:r>
      <w:r>
        <w:rPr>
          <w:rFonts w:hint="eastAsia" w:ascii="楷体_GB2312" w:hAnsi="楷体_GB2312" w:eastAsia="楷体_GB2312" w:cs="楷体_GB2312"/>
          <w:b/>
          <w:bCs/>
          <w:color w:val="auto"/>
          <w:sz w:val="32"/>
          <w:szCs w:val="32"/>
          <w:highlight w:val="none"/>
          <w:lang w:val="zh-CN"/>
        </w:rPr>
        <w:t>。</w:t>
      </w:r>
      <w:r>
        <w:rPr>
          <w:rFonts w:hint="default" w:ascii="仿宋_GB2312" w:hAnsi="Times New Roman" w:eastAsia="仿宋_GB2312" w:cs="Times New Roman"/>
          <w:color w:val="auto"/>
          <w:sz w:val="32"/>
          <w:szCs w:val="32"/>
          <w:highlight w:val="none"/>
          <w:lang w:val="zh-CN"/>
        </w:rPr>
        <w:t>近年来，国家及省级层面陆续修订或出台了一系列农业领域法律法规，如《中华人民共和国畜牧法》《中华人民共和国动物防疫法》《生猪屠宰管理条例》等，对相关违法行为的法律责任进行了调整和完善。原有的裁量基准已难以完全适应新的法律要求和执法实践，亟需进行系统性修订和更新。</w:t>
      </w:r>
    </w:p>
    <w:p w14:paraId="326D17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Times New Roman" w:eastAsia="仿宋_GB2312" w:cs="Times New Roman"/>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w:t>
      </w: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color w:val="auto"/>
          <w:sz w:val="32"/>
          <w:szCs w:val="32"/>
          <w:highlight w:val="none"/>
          <w:lang w:val="zh-CN"/>
        </w:rPr>
        <w:t>）</w:t>
      </w:r>
      <w:r>
        <w:rPr>
          <w:rFonts w:hint="default" w:ascii="楷体_GB2312" w:hAnsi="楷体_GB2312" w:eastAsia="楷体_GB2312" w:cs="楷体_GB2312"/>
          <w:b/>
          <w:bCs/>
          <w:color w:val="auto"/>
          <w:sz w:val="32"/>
          <w:szCs w:val="32"/>
          <w:highlight w:val="none"/>
          <w:lang w:val="zh-CN"/>
        </w:rPr>
        <w:t>提升农业执法效能和公信力的需要 </w:t>
      </w:r>
      <w:r>
        <w:rPr>
          <w:rFonts w:hint="eastAsia" w:ascii="楷体_GB2312" w:hAnsi="楷体_GB2312" w:eastAsia="楷体_GB2312" w:cs="楷体_GB2312"/>
          <w:b/>
          <w:bCs/>
          <w:color w:val="auto"/>
          <w:sz w:val="32"/>
          <w:szCs w:val="32"/>
          <w:highlight w:val="none"/>
          <w:lang w:val="zh-CN"/>
        </w:rPr>
        <w:t>。</w:t>
      </w:r>
      <w:r>
        <w:rPr>
          <w:rFonts w:hint="default" w:ascii="仿宋_GB2312" w:hAnsi="Times New Roman" w:eastAsia="仿宋_GB2312" w:cs="Times New Roman"/>
          <w:color w:val="auto"/>
          <w:sz w:val="32"/>
          <w:szCs w:val="32"/>
          <w:highlight w:val="none"/>
          <w:lang w:val="zh-CN"/>
        </w:rPr>
        <w:t>统一的裁量标准是保障执法公平、提升执法效能的基础。通过细化、量化处罚标准，为一线执法人员提供明确、可操作的工作指引，有利于提高执法决定的科学性和一致性，增强农业执法的权威性和公信力。</w:t>
      </w:r>
    </w:p>
    <w:p w14:paraId="59BEE7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Times New Roman" w:eastAsia="仿宋_GB2312" w:cs="Times New Roman"/>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rPr>
        <w:t>（</w:t>
      </w:r>
      <w:r>
        <w:rPr>
          <w:rFonts w:hint="eastAsia" w:ascii="楷体_GB2312" w:hAnsi="楷体_GB2312" w:eastAsia="楷体_GB2312" w:cs="楷体_GB2312"/>
          <w:b/>
          <w:bCs/>
          <w:color w:val="auto"/>
          <w:sz w:val="32"/>
          <w:szCs w:val="32"/>
          <w:highlight w:val="none"/>
          <w:lang w:val="en-US" w:eastAsia="zh-CN"/>
        </w:rPr>
        <w:t>四</w:t>
      </w:r>
      <w:r>
        <w:rPr>
          <w:rFonts w:hint="eastAsia" w:ascii="楷体_GB2312" w:hAnsi="楷体_GB2312" w:eastAsia="楷体_GB2312" w:cs="楷体_GB2312"/>
          <w:b/>
          <w:bCs/>
          <w:color w:val="auto"/>
          <w:sz w:val="32"/>
          <w:szCs w:val="32"/>
          <w:highlight w:val="none"/>
          <w:lang w:val="zh-CN"/>
        </w:rPr>
        <w:t>）</w:t>
      </w:r>
      <w:r>
        <w:rPr>
          <w:rFonts w:hint="default" w:ascii="楷体_GB2312" w:hAnsi="楷体_GB2312" w:eastAsia="楷体_GB2312" w:cs="楷体_GB2312"/>
          <w:b/>
          <w:bCs/>
          <w:color w:val="auto"/>
          <w:sz w:val="32"/>
          <w:szCs w:val="32"/>
          <w:highlight w:val="none"/>
          <w:lang w:val="zh-CN"/>
        </w:rPr>
        <w:t>回应社会关切和优化营商环境的举措 </w:t>
      </w:r>
      <w:r>
        <w:rPr>
          <w:rFonts w:hint="eastAsia" w:ascii="楷体_GB2312" w:hAnsi="楷体_GB2312" w:eastAsia="楷体_GB2312" w:cs="楷体_GB2312"/>
          <w:b/>
          <w:bCs/>
          <w:color w:val="auto"/>
          <w:sz w:val="32"/>
          <w:szCs w:val="32"/>
          <w:highlight w:val="none"/>
          <w:lang w:val="zh-CN"/>
        </w:rPr>
        <w:t>。</w:t>
      </w:r>
      <w:r>
        <w:rPr>
          <w:rFonts w:hint="default" w:ascii="仿宋_GB2312" w:hAnsi="Times New Roman" w:eastAsia="仿宋_GB2312" w:cs="Times New Roman"/>
          <w:color w:val="auto"/>
          <w:sz w:val="32"/>
          <w:szCs w:val="32"/>
          <w:highlight w:val="none"/>
          <w:lang w:val="zh-CN"/>
        </w:rPr>
        <w:t>清晰透明的处罚标准有助于行政相对人预知行为后果，引导其自觉守法经营。同时，规范裁量权也是保护市场主体活力、营造稳定公平透明可预期营商环境的具体实践。</w:t>
      </w:r>
    </w:p>
    <w:p w14:paraId="6FAA480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黑体" w:hAnsi="黑体" w:eastAsia="黑体" w:cs="黑体"/>
          <w:b w:val="0"/>
          <w:bCs w:val="0"/>
          <w:i w:val="0"/>
          <w:iCs w:val="0"/>
          <w:caps w:val="0"/>
          <w:color w:val="auto"/>
          <w:spacing w:val="0"/>
          <w:sz w:val="32"/>
          <w:szCs w:val="32"/>
          <w:highlight w:val="none"/>
          <w:shd w:val="clear" w:color="auto" w:fill="FFFFFF"/>
          <w:lang w:val="en-US" w:eastAsia="zh-CN"/>
        </w:rPr>
      </w:pPr>
      <w:r>
        <w:rPr>
          <w:rFonts w:hint="default" w:ascii="黑体" w:hAnsi="黑体" w:eastAsia="黑体" w:cs="黑体"/>
          <w:b w:val="0"/>
          <w:bCs w:val="0"/>
          <w:i w:val="0"/>
          <w:iCs w:val="0"/>
          <w:caps w:val="0"/>
          <w:color w:val="auto"/>
          <w:spacing w:val="0"/>
          <w:sz w:val="32"/>
          <w:szCs w:val="32"/>
          <w:highlight w:val="none"/>
          <w:shd w:val="clear" w:color="auto" w:fill="FFFFFF"/>
          <w:lang w:val="en-US" w:eastAsia="zh-CN"/>
        </w:rPr>
        <w:t>二、 起草依据及过程</w:t>
      </w:r>
    </w:p>
    <w:p w14:paraId="1EDA9FC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楷体_GB2312" w:hAnsi="楷体_GB2312" w:eastAsia="楷体_GB2312" w:cs="楷体_GB2312"/>
          <w:b/>
          <w:bCs/>
          <w:i w:val="0"/>
          <w:iCs w:val="0"/>
          <w:caps w:val="0"/>
          <w:color w:val="auto"/>
          <w:spacing w:val="0"/>
          <w:sz w:val="32"/>
          <w:szCs w:val="32"/>
          <w:highlight w:val="none"/>
          <w:shd w:val="clear" w:color="auto" w:fill="FFFFFF"/>
          <w:lang w:val="en-US" w:eastAsia="zh-CN"/>
        </w:rPr>
        <w:t>（一）主要依据</w:t>
      </w:r>
      <w:r>
        <w:rPr>
          <w:rFonts w:hint="eastAsia" w:ascii="楷体_GB2312" w:hAnsi="楷体_GB2312" w:eastAsia="楷体_GB2312" w:cs="楷体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b/>
          <w:bCs/>
          <w:color w:val="auto"/>
          <w:sz w:val="32"/>
          <w:szCs w:val="32"/>
          <w:highlight w:val="none"/>
          <w:lang w:val="en-US" w:eastAsia="zh-CN"/>
        </w:rPr>
        <w:t>法律依据： </w:t>
      </w:r>
      <w:r>
        <w:rPr>
          <w:rFonts w:hint="default" w:ascii="仿宋_GB2312" w:hAnsi="仿宋_GB2312" w:eastAsia="仿宋_GB2312" w:cs="仿宋_GB2312"/>
          <w:b w:val="0"/>
          <w:bCs w:val="0"/>
          <w:color w:val="auto"/>
          <w:sz w:val="32"/>
          <w:szCs w:val="32"/>
          <w:highlight w:val="none"/>
          <w:lang w:val="en-US" w:eastAsia="zh-CN"/>
        </w:rPr>
        <w:t>以《中华人民共和国行政处罚法》《中华人民共和国畜牧法》《中华人民共和国动物防疫法》《中华人民共和国种子法》《中华人民共和国农产品质量安全法》《中华人民共和国野生动物保护法》《中华人民共和国长江保护法》《中华人民共和国土壤污染防治法》等国家法律为主要依据。</w:t>
      </w:r>
      <w:r>
        <w:rPr>
          <w:rFonts w:hint="default" w:ascii="仿宋_GB2312" w:hAnsi="仿宋_GB2312" w:eastAsia="仿宋_GB2312" w:cs="仿宋_GB2312"/>
          <w:b/>
          <w:bCs/>
          <w:color w:val="auto"/>
          <w:sz w:val="32"/>
          <w:szCs w:val="32"/>
          <w:highlight w:val="none"/>
          <w:lang w:val="en-US" w:eastAsia="zh-CN"/>
        </w:rPr>
        <w:t>法规依据： </w:t>
      </w:r>
      <w:r>
        <w:rPr>
          <w:rFonts w:hint="default" w:ascii="仿宋_GB2312" w:hAnsi="仿宋_GB2312" w:eastAsia="仿宋_GB2312" w:cs="仿宋_GB2312"/>
          <w:b w:val="0"/>
          <w:bCs w:val="0"/>
          <w:color w:val="auto"/>
          <w:sz w:val="32"/>
          <w:szCs w:val="32"/>
          <w:highlight w:val="none"/>
          <w:lang w:val="en-US" w:eastAsia="zh-CN"/>
        </w:rPr>
        <w:t>参照《生猪屠宰管理条例》《兽药管理条例》《饲料和饲料添加剂管理条例》《农药管理条例》《农业机械安全监督管理条例》《乳品质量安全监督管理条例》《植物检疫管理条例》《农作物病虫害防治条例》《农业转基因生物安全管理条例》《中华人民共和国野生植物保护条例》等行政法规。</w:t>
      </w:r>
      <w:r>
        <w:rPr>
          <w:rFonts w:hint="default" w:ascii="仿宋_GB2312" w:hAnsi="仿宋_GB2312" w:eastAsia="仿宋_GB2312" w:cs="仿宋_GB2312"/>
          <w:b/>
          <w:bCs/>
          <w:color w:val="auto"/>
          <w:sz w:val="32"/>
          <w:szCs w:val="32"/>
          <w:highlight w:val="none"/>
          <w:lang w:val="en-US" w:eastAsia="zh-CN"/>
        </w:rPr>
        <w:t>规章及地方性法规依据： </w:t>
      </w:r>
      <w:r>
        <w:rPr>
          <w:rFonts w:hint="default" w:ascii="仿宋_GB2312" w:hAnsi="仿宋_GB2312" w:eastAsia="仿宋_GB2312" w:cs="仿宋_GB2312"/>
          <w:b w:val="0"/>
          <w:bCs w:val="0"/>
          <w:color w:val="auto"/>
          <w:sz w:val="32"/>
          <w:szCs w:val="32"/>
          <w:highlight w:val="none"/>
          <w:lang w:val="en-US" w:eastAsia="zh-CN"/>
        </w:rPr>
        <w:t>对照《肥料登记管理办法》《蚕种管理办法》等部门规章以及《江西省畜禽养殖管理办法》《江西省农业生态环境保护条例》等本省地方性法规。</w:t>
      </w:r>
      <w:r>
        <w:rPr>
          <w:rFonts w:hint="default" w:ascii="仿宋_GB2312" w:hAnsi="仿宋_GB2312" w:eastAsia="仿宋_GB2312" w:cs="仿宋_GB2312"/>
          <w:b/>
          <w:bCs/>
          <w:color w:val="auto"/>
          <w:sz w:val="32"/>
          <w:szCs w:val="32"/>
          <w:highlight w:val="none"/>
          <w:lang w:val="en-US" w:eastAsia="zh-CN"/>
        </w:rPr>
        <w:t>政策指导文件：</w:t>
      </w:r>
      <w:r>
        <w:rPr>
          <w:rFonts w:hint="default" w:ascii="仿宋_GB2312" w:hAnsi="仿宋_GB2312" w:eastAsia="仿宋_GB2312" w:cs="仿宋_GB2312"/>
          <w:b w:val="0"/>
          <w:bCs w:val="0"/>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参考《江西省农业行政处罚自由裁量基准（2024版）》和</w:t>
      </w:r>
      <w:r>
        <w:rPr>
          <w:rFonts w:hint="default" w:ascii="仿宋_GB2312" w:hAnsi="仿宋_GB2312" w:eastAsia="仿宋_GB2312" w:cs="仿宋_GB2312"/>
          <w:b w:val="0"/>
          <w:bCs w:val="0"/>
          <w:color w:val="auto"/>
          <w:sz w:val="32"/>
          <w:szCs w:val="32"/>
          <w:highlight w:val="none"/>
          <w:lang w:val="en-US" w:eastAsia="zh-CN"/>
        </w:rPr>
        <w:t>省</w:t>
      </w:r>
      <w:r>
        <w:rPr>
          <w:rFonts w:hint="eastAsia" w:ascii="仿宋_GB2312" w:hAnsi="仿宋_GB2312" w:eastAsia="仿宋_GB2312" w:cs="仿宋_GB2312"/>
          <w:b w:val="0"/>
          <w:bCs w:val="0"/>
          <w:color w:val="auto"/>
          <w:sz w:val="32"/>
          <w:szCs w:val="32"/>
          <w:highlight w:val="none"/>
          <w:lang w:val="en-US" w:eastAsia="zh-CN"/>
        </w:rPr>
        <w:t>、市出台</w:t>
      </w:r>
      <w:r>
        <w:rPr>
          <w:rFonts w:hint="default" w:ascii="仿宋_GB2312" w:hAnsi="仿宋_GB2312" w:eastAsia="仿宋_GB2312" w:cs="仿宋_GB2312"/>
          <w:b w:val="0"/>
          <w:bCs w:val="0"/>
          <w:color w:val="auto"/>
          <w:sz w:val="32"/>
          <w:szCs w:val="32"/>
          <w:highlight w:val="none"/>
          <w:lang w:val="en-US" w:eastAsia="zh-CN"/>
        </w:rPr>
        <w:t>相关政策文件。</w:t>
      </w:r>
    </w:p>
    <w:p w14:paraId="43903E6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color w:val="auto"/>
        </w:rPr>
      </w:pPr>
      <w:r>
        <w:rPr>
          <w:rFonts w:hint="default" w:ascii="楷体_GB2312" w:hAnsi="楷体_GB2312" w:eastAsia="楷体_GB2312" w:cs="楷体_GB2312"/>
          <w:b/>
          <w:bCs/>
          <w:i w:val="0"/>
          <w:iCs w:val="0"/>
          <w:caps w:val="0"/>
          <w:color w:val="auto"/>
          <w:spacing w:val="0"/>
          <w:sz w:val="32"/>
          <w:szCs w:val="32"/>
          <w:highlight w:val="none"/>
          <w:shd w:val="clear" w:color="auto" w:fill="FFFFFF"/>
          <w:lang w:val="en-US" w:eastAsia="zh-CN"/>
        </w:rPr>
        <w:t>（二）起草过程</w:t>
      </w:r>
      <w:r>
        <w:rPr>
          <w:rFonts w:hint="eastAsia" w:ascii="楷体_GB2312" w:hAnsi="楷体_GB2312" w:eastAsia="楷体_GB2312" w:cs="楷体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b/>
          <w:bCs/>
          <w:color w:val="auto"/>
          <w:sz w:val="32"/>
          <w:szCs w:val="32"/>
          <w:highlight w:val="none"/>
          <w:lang w:val="en-US" w:eastAsia="zh-CN"/>
        </w:rPr>
        <w:t>组织部署与初步研究（202</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年</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执法支队</w:t>
      </w:r>
      <w:r>
        <w:rPr>
          <w:rFonts w:hint="default" w:ascii="仿宋_GB2312" w:hAnsi="仿宋_GB2312" w:eastAsia="仿宋_GB2312" w:cs="仿宋_GB2312"/>
          <w:b w:val="0"/>
          <w:bCs w:val="0"/>
          <w:color w:val="auto"/>
          <w:sz w:val="32"/>
          <w:szCs w:val="32"/>
          <w:highlight w:val="none"/>
          <w:lang w:val="en-US" w:eastAsia="zh-CN"/>
        </w:rPr>
        <w:t>成立起草工作组，系统梳理现行有效的农业领域法律、法规、规章，收集整理各地农业行政处罚自由裁量基准制定的先进经验和做法，对比分析我市原有基准实施情况及存在问题，明确修订原则和重点方向。</w:t>
      </w:r>
      <w:r>
        <w:rPr>
          <w:rFonts w:hint="default" w:ascii="仿宋_GB2312" w:hAnsi="仿宋_GB2312" w:eastAsia="仿宋_GB2312" w:cs="仿宋_GB2312"/>
          <w:b/>
          <w:bCs/>
          <w:color w:val="auto"/>
          <w:sz w:val="32"/>
          <w:szCs w:val="32"/>
          <w:highlight w:val="none"/>
          <w:lang w:val="en-US" w:eastAsia="zh-CN"/>
        </w:rPr>
        <w:t>文本起草与内部研讨（202</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年</w:t>
      </w:r>
      <w:r>
        <w:rPr>
          <w:rFonts w:hint="eastAsia" w:ascii="仿宋_GB2312" w:hAnsi="仿宋_GB2312" w:eastAsia="仿宋_GB2312" w:cs="仿宋_GB2312"/>
          <w:b/>
          <w:bCs/>
          <w:color w:val="auto"/>
          <w:sz w:val="32"/>
          <w:szCs w:val="32"/>
          <w:highlight w:val="none"/>
          <w:lang w:val="en-US" w:eastAsia="zh-CN"/>
        </w:rPr>
        <w:t>2</w:t>
      </w:r>
      <w:r>
        <w:rPr>
          <w:rFonts w:hint="default" w:ascii="仿宋_GB2312" w:hAnsi="仿宋_GB2312" w:eastAsia="仿宋_GB2312" w:cs="仿宋_GB2312"/>
          <w:b/>
          <w:bCs/>
          <w:color w:val="auto"/>
          <w:sz w:val="32"/>
          <w:szCs w:val="32"/>
          <w:highlight w:val="none"/>
          <w:lang w:val="en-US" w:eastAsia="zh-CN"/>
        </w:rPr>
        <w:t>月-</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 依据上位法规定，结合我市农业行政执法实际，逐项研究违法行为种类、法律依据、构成要件、处罚种类和幅度，初步形成了《裁量基准》征求意见稿。组织局内相关处室、单位进行多轮研讨，对裁量档次划分、罚款幅度设定、情节认定标准等进行充分论证。</w:t>
      </w:r>
      <w:r>
        <w:rPr>
          <w:rFonts w:hint="default" w:ascii="仿宋_GB2312" w:hAnsi="仿宋_GB2312" w:eastAsia="仿宋_GB2312" w:cs="仿宋_GB2312"/>
          <w:b/>
          <w:bCs/>
          <w:color w:val="auto"/>
          <w:sz w:val="32"/>
          <w:szCs w:val="32"/>
          <w:highlight w:val="none"/>
          <w:lang w:val="en-US" w:eastAsia="zh-CN"/>
        </w:rPr>
        <w:t>征求意见与修改完善（202</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年</w:t>
      </w:r>
      <w:r>
        <w:rPr>
          <w:rFonts w:hint="eastAsia" w:ascii="仿宋_GB2312" w:hAnsi="仿宋_GB2312" w:eastAsia="仿宋_GB2312" w:cs="仿宋_GB2312"/>
          <w:b/>
          <w:bCs/>
          <w:color w:val="auto"/>
          <w:sz w:val="32"/>
          <w:szCs w:val="32"/>
          <w:highlight w:val="none"/>
          <w:lang w:val="en-US" w:eastAsia="zh-CN"/>
        </w:rPr>
        <w:t>6</w:t>
      </w:r>
      <w:r>
        <w:rPr>
          <w:rFonts w:hint="default" w:ascii="仿宋_GB2312" w:hAnsi="仿宋_GB2312" w:eastAsia="仿宋_GB2312" w:cs="仿宋_GB2312"/>
          <w:b/>
          <w:bCs/>
          <w:color w:val="auto"/>
          <w:sz w:val="32"/>
          <w:szCs w:val="32"/>
          <w:highlight w:val="none"/>
          <w:lang w:val="en-US" w:eastAsia="zh-CN"/>
        </w:rPr>
        <w:t>月-</w:t>
      </w:r>
      <w:r>
        <w:rPr>
          <w:rFonts w:hint="eastAsia" w:ascii="仿宋_GB2312" w:hAnsi="仿宋_GB2312" w:eastAsia="仿宋_GB2312" w:cs="仿宋_GB2312"/>
          <w:b/>
          <w:bCs/>
          <w:color w:val="auto"/>
          <w:sz w:val="32"/>
          <w:szCs w:val="32"/>
          <w:highlight w:val="none"/>
          <w:lang w:val="en-US" w:eastAsia="zh-CN"/>
        </w:rPr>
        <w:t>10</w:t>
      </w:r>
      <w:r>
        <w:rPr>
          <w:rFonts w:hint="default" w:ascii="仿宋_GB2312" w:hAnsi="仿宋_GB2312" w:eastAsia="仿宋_GB2312" w:cs="仿宋_GB2312"/>
          <w:b/>
          <w:bCs/>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在五个县区农业农村部门（南昌县、进贤县、新建区、安义县、湾里管理局）和市执法支队中先后</w:t>
      </w:r>
      <w:r>
        <w:rPr>
          <w:rFonts w:hint="default" w:ascii="仿宋_GB2312" w:hAnsi="仿宋_GB2312" w:eastAsia="仿宋_GB2312" w:cs="仿宋_GB2312"/>
          <w:b w:val="0"/>
          <w:bCs w:val="0"/>
          <w:color w:val="auto"/>
          <w:sz w:val="32"/>
          <w:szCs w:val="32"/>
          <w:highlight w:val="none"/>
          <w:lang w:val="en-US" w:eastAsia="zh-CN"/>
        </w:rPr>
        <w:t>三次</w:t>
      </w:r>
      <w:r>
        <w:rPr>
          <w:rFonts w:hint="eastAsia" w:ascii="仿宋_GB2312" w:hAnsi="仿宋_GB2312" w:eastAsia="仿宋_GB2312" w:cs="仿宋_GB2312"/>
          <w:b w:val="0"/>
          <w:bCs w:val="0"/>
          <w:color w:val="auto"/>
          <w:sz w:val="32"/>
          <w:szCs w:val="32"/>
          <w:highlight w:val="none"/>
          <w:lang w:val="en-US" w:eastAsia="zh-CN"/>
        </w:rPr>
        <w:t>开展</w:t>
      </w:r>
      <w:r>
        <w:rPr>
          <w:rFonts w:hint="default" w:ascii="仿宋_GB2312" w:hAnsi="仿宋_GB2312" w:eastAsia="仿宋_GB2312" w:cs="仿宋_GB2312"/>
          <w:b w:val="0"/>
          <w:bCs w:val="0"/>
          <w:color w:val="auto"/>
          <w:sz w:val="32"/>
          <w:szCs w:val="32"/>
          <w:highlight w:val="none"/>
          <w:lang w:val="en-US" w:eastAsia="zh-CN"/>
        </w:rPr>
        <w:t>征求意见，并通过</w:t>
      </w:r>
      <w:r>
        <w:rPr>
          <w:rFonts w:hint="eastAsia" w:ascii="仿宋_GB2312" w:hAnsi="仿宋_GB2312" w:eastAsia="仿宋_GB2312" w:cs="仿宋_GB2312"/>
          <w:b w:val="0"/>
          <w:bCs w:val="0"/>
          <w:color w:val="auto"/>
          <w:sz w:val="32"/>
          <w:szCs w:val="32"/>
          <w:highlight w:val="none"/>
          <w:lang w:val="en-US" w:eastAsia="zh-CN"/>
        </w:rPr>
        <w:t>座谈会方式</w:t>
      </w:r>
      <w:r>
        <w:rPr>
          <w:rFonts w:hint="default" w:ascii="仿宋_GB2312" w:hAnsi="仿宋_GB2312" w:eastAsia="仿宋_GB2312" w:cs="仿宋_GB2312"/>
          <w:b w:val="0"/>
          <w:bCs w:val="0"/>
          <w:color w:val="auto"/>
          <w:sz w:val="32"/>
          <w:szCs w:val="32"/>
          <w:highlight w:val="none"/>
          <w:lang w:val="en-US" w:eastAsia="zh-CN"/>
        </w:rPr>
        <w:t>征求了部分行政执法人员、法律顾问及管理相对人的意见建议。</w:t>
      </w:r>
      <w:r>
        <w:rPr>
          <w:rFonts w:hint="eastAsia" w:ascii="仿宋_GB2312" w:hAnsi="仿宋_GB2312" w:eastAsia="仿宋_GB2312" w:cs="仿宋_GB2312"/>
          <w:b w:val="0"/>
          <w:bCs w:val="0"/>
          <w:color w:val="auto"/>
          <w:sz w:val="32"/>
          <w:szCs w:val="32"/>
          <w:highlight w:val="none"/>
          <w:lang w:val="en-US" w:eastAsia="zh-CN"/>
        </w:rPr>
        <w:t>同时通过局官网征求全社会意见，为期30天。</w:t>
      </w:r>
      <w:r>
        <w:rPr>
          <w:rFonts w:hint="default" w:ascii="仿宋_GB2312" w:hAnsi="仿宋_GB2312" w:eastAsia="仿宋_GB2312" w:cs="仿宋_GB2312"/>
          <w:b w:val="0"/>
          <w:bCs w:val="0"/>
          <w:color w:val="auto"/>
          <w:sz w:val="32"/>
          <w:szCs w:val="32"/>
          <w:highlight w:val="none"/>
          <w:lang w:val="en-US" w:eastAsia="zh-CN"/>
        </w:rPr>
        <w:t>对收集到的意见建议进行了认真研究、吸纳，对文本进行了反复修改打磨，形成了送审稿。</w:t>
      </w:r>
      <w:r>
        <w:rPr>
          <w:rFonts w:hint="eastAsia" w:ascii="仿宋_GB2312" w:hAnsi="仿宋_GB2312" w:eastAsia="仿宋_GB2312" w:cs="仿宋_GB2312"/>
          <w:b w:val="0"/>
          <w:bCs w:val="0"/>
          <w:color w:val="auto"/>
          <w:sz w:val="32"/>
          <w:szCs w:val="32"/>
          <w:highlight w:val="none"/>
          <w:lang w:val="en-US" w:eastAsia="zh-CN"/>
        </w:rPr>
        <w:t>经汇总，收集意见1条，采纳1条。</w:t>
      </w:r>
      <w:r>
        <w:rPr>
          <w:rFonts w:hint="default" w:ascii="仿宋_GB2312" w:hAnsi="仿宋_GB2312" w:eastAsia="仿宋_GB2312" w:cs="仿宋_GB2312"/>
          <w:b/>
          <w:bCs/>
          <w:color w:val="auto"/>
          <w:sz w:val="32"/>
          <w:szCs w:val="32"/>
          <w:highlight w:val="none"/>
          <w:lang w:val="en-US" w:eastAsia="zh-CN"/>
        </w:rPr>
        <w:t>合法性审核与集体审议（202</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年</w:t>
      </w:r>
      <w:r>
        <w:rPr>
          <w:rFonts w:hint="eastAsia" w:ascii="仿宋_GB2312" w:hAnsi="仿宋_GB2312" w:eastAsia="仿宋_GB2312" w:cs="仿宋_GB2312"/>
          <w:b/>
          <w:bCs/>
          <w:color w:val="auto"/>
          <w:sz w:val="32"/>
          <w:szCs w:val="32"/>
          <w:highlight w:val="none"/>
          <w:lang w:val="en-US" w:eastAsia="zh-CN"/>
        </w:rPr>
        <w:t>11</w:t>
      </w:r>
      <w:r>
        <w:rPr>
          <w:rFonts w:hint="default" w:ascii="仿宋_GB2312" w:hAnsi="仿宋_GB2312" w:eastAsia="仿宋_GB2312" w:cs="仿宋_GB2312"/>
          <w:b/>
          <w:bCs/>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 送审稿经过本机关法制机构合法性审核，确保其内容符合法律、法规、规章的规定。最终按程序提交局长办公会议审议通过，形成本送审稿。</w:t>
      </w:r>
    </w:p>
    <w:p w14:paraId="7875814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黑体" w:hAnsi="黑体" w:eastAsia="黑体" w:cs="黑体"/>
          <w:b w:val="0"/>
          <w:bCs w:val="0"/>
          <w:i w:val="0"/>
          <w:iCs w:val="0"/>
          <w:caps w:val="0"/>
          <w:color w:val="auto"/>
          <w:spacing w:val="0"/>
          <w:sz w:val="32"/>
          <w:szCs w:val="32"/>
          <w:highlight w:val="none"/>
          <w:shd w:val="clear" w:color="auto" w:fill="FFFFFF"/>
          <w:lang w:val="en-US" w:eastAsia="zh-CN"/>
        </w:rPr>
      </w:pPr>
      <w:r>
        <w:rPr>
          <w:rFonts w:hint="default" w:ascii="黑体" w:hAnsi="黑体" w:eastAsia="黑体" w:cs="黑体"/>
          <w:b w:val="0"/>
          <w:bCs w:val="0"/>
          <w:i w:val="0"/>
          <w:iCs w:val="0"/>
          <w:caps w:val="0"/>
          <w:color w:val="auto"/>
          <w:spacing w:val="0"/>
          <w:sz w:val="32"/>
          <w:szCs w:val="32"/>
          <w:highlight w:val="none"/>
          <w:shd w:val="clear" w:color="auto" w:fill="FFFFFF"/>
          <w:lang w:val="en-US" w:eastAsia="zh-CN"/>
        </w:rPr>
        <w:t>三、 主要内容</w:t>
      </w:r>
    </w:p>
    <w:p w14:paraId="05E42A48">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裁量基准（送审稿）》共包含20个部分，涉及畜牧、生猪屠宰、蚕种、动物防疫、兽药、饲料、种子、农产品质量安全、乳品、野生植物、农药、肥料、土壤污染防治、农业生态环境、农业转基因生物、农业机械、植物检疫、农作物病虫害防治、野生动物保护、长江保护与渔业等多个农业执法领域。</w:t>
      </w:r>
    </w:p>
    <w:p w14:paraId="74E0641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其主要内容和特点体现在以下几个方面：</w:t>
      </w:r>
    </w:p>
    <w:p w14:paraId="69FC3AE3">
      <w:pPr>
        <w:numPr>
          <w:ilvl w:val="0"/>
          <w:numId w:val="0"/>
        </w:numPr>
        <w:ind w:firstLine="643" w:firstLineChars="200"/>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highlight w:val="none"/>
          <w:shd w:val="clear" w:color="auto" w:fill="FFFFFF"/>
          <w:lang w:val="en-US" w:eastAsia="zh-CN"/>
        </w:rPr>
        <w:t>（一）</w:t>
      </w:r>
      <w:r>
        <w:rPr>
          <w:rFonts w:hint="default" w:ascii="楷体_GB2312" w:hAnsi="楷体_GB2312" w:eastAsia="楷体_GB2312" w:cs="楷体_GB2312"/>
          <w:b/>
          <w:bCs/>
          <w:i w:val="0"/>
          <w:iCs w:val="0"/>
          <w:caps w:val="0"/>
          <w:color w:val="auto"/>
          <w:spacing w:val="0"/>
          <w:sz w:val="32"/>
          <w:szCs w:val="32"/>
          <w:highlight w:val="none"/>
          <w:shd w:val="clear" w:color="auto" w:fill="FFFFFF"/>
          <w:lang w:val="en-US" w:eastAsia="zh-CN"/>
        </w:rPr>
        <w:t>结构清晰，覆盖全面 </w:t>
      </w:r>
      <w:r>
        <w:rPr>
          <w:rFonts w:hint="eastAsia" w:ascii="楷体_GB2312" w:hAnsi="楷体_GB2312" w:eastAsia="楷体_GB2312" w:cs="楷体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裁量基准》采用表格形式，按法律法规顺序编排，结构清晰明了。内容包括序号、违法种类、法律依据、共同处罚（处理）部分、裁量一级分档（含裁量档次、裁量情形、一级分档裁量标准）、裁量二级分档（含裁量子档次、裁量情形、二级分档裁量标准）及备注等栏目。基本覆盖了当前我市农业行政执法的主要领域和常见违法行为。</w:t>
      </w:r>
    </w:p>
    <w:p w14:paraId="40F2230A">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（二）细化裁量，规范运行</w:t>
      </w:r>
      <w:r>
        <w:rPr>
          <w:rFonts w:hint="eastAsia" w:ascii="楷体_GB2312" w:hAnsi="楷体_GB2312" w:eastAsia="楷体_GB2312" w:cs="楷体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明确裁量档次： 对每项违法行为，根据违法行为的事实、性质、情节、社会危害程度以及当事人主观过错等因素，普遍划分为“从轻”、“一般”、“从重”三个基本裁量档次。</w:t>
      </w:r>
      <w:r>
        <w:rPr>
          <w:rFonts w:hint="eastAsia" w:ascii="仿宋_GB2312" w:hAnsi="仿宋_GB2312" w:eastAsia="仿宋_GB2312" w:cs="仿宋_GB2312"/>
          <w:color w:val="auto"/>
          <w:sz w:val="32"/>
          <w:szCs w:val="32"/>
          <w:highlight w:val="none"/>
          <w:lang w:val="en-US" w:eastAsia="zh-CN"/>
        </w:rPr>
        <w:t>常用</w:t>
      </w:r>
      <w:r>
        <w:rPr>
          <w:rFonts w:hint="default" w:ascii="仿宋_GB2312" w:hAnsi="仿宋_GB2312" w:eastAsia="仿宋_GB2312" w:cs="仿宋_GB2312"/>
          <w:color w:val="auto"/>
          <w:sz w:val="32"/>
          <w:szCs w:val="32"/>
          <w:highlight w:val="none"/>
          <w:lang w:val="en-US" w:eastAsia="zh-CN"/>
        </w:rPr>
        <w:t>条款根据实际需要，在“子</w:t>
      </w: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档次”</w:t>
      </w:r>
      <w:r>
        <w:rPr>
          <w:rFonts w:hint="eastAsia" w:ascii="仿宋_GB2312" w:hAnsi="仿宋_GB2312" w:eastAsia="仿宋_GB2312" w:cs="仿宋_GB2312"/>
          <w:color w:val="auto"/>
          <w:sz w:val="32"/>
          <w:szCs w:val="32"/>
          <w:highlight w:val="none"/>
          <w:lang w:val="en-US" w:eastAsia="zh-CN"/>
        </w:rPr>
        <w:t>基础</w:t>
      </w:r>
      <w:r>
        <w:rPr>
          <w:rFonts w:hint="default" w:ascii="仿宋_GB2312" w:hAnsi="仿宋_GB2312" w:eastAsia="仿宋_GB2312" w:cs="仿宋_GB2312"/>
          <w:color w:val="auto"/>
          <w:sz w:val="32"/>
          <w:szCs w:val="32"/>
          <w:highlight w:val="none"/>
          <w:lang w:val="en-US" w:eastAsia="zh-CN"/>
        </w:rPr>
        <w:t>下进一步细化了“子</w:t>
      </w:r>
      <w:r>
        <w:rPr>
          <w:rFonts w:hint="eastAsia" w:ascii="仿宋_GB2312" w:hAnsi="仿宋_GB2312" w:eastAsia="仿宋_GB2312" w:cs="仿宋_GB2312"/>
          <w:color w:val="auto"/>
          <w:sz w:val="32"/>
          <w:szCs w:val="32"/>
          <w:highlight w:val="none"/>
          <w:lang w:val="en-US" w:eastAsia="zh-CN"/>
        </w:rPr>
        <w:t>二</w:t>
      </w:r>
      <w:r>
        <w:rPr>
          <w:rFonts w:hint="default" w:ascii="仿宋_GB2312" w:hAnsi="仿宋_GB2312" w:eastAsia="仿宋_GB2312" w:cs="仿宋_GB2312"/>
          <w:color w:val="auto"/>
          <w:sz w:val="32"/>
          <w:szCs w:val="32"/>
          <w:highlight w:val="none"/>
          <w:lang w:val="en-US" w:eastAsia="zh-CN"/>
        </w:rPr>
        <w:t>档次”。</w:t>
      </w:r>
      <w:r>
        <w:rPr>
          <w:rFonts w:hint="eastAsia" w:ascii="仿宋_GB2312" w:hAnsi="仿宋_GB2312" w:eastAsia="仿宋_GB2312" w:cs="仿宋_GB2312"/>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量化处罚幅度： 在法律、法规、规章规定的处罚幅度内，对罚款数额或倍数进行了细化。例如，对于有违法所得并按违法所得倍数罚款的，明确了不同档次对应的具体倍数区间；对于定额罚款的，划分了具体的金额区间。这种量化极大增强了裁量标准的可操作性和确定性。</w:t>
      </w:r>
      <w:r>
        <w:rPr>
          <w:rFonts w:hint="eastAsia" w:ascii="仿宋_GB2312" w:hAnsi="仿宋_GB2312" w:eastAsia="仿宋_GB2312" w:cs="仿宋_GB2312"/>
          <w:color w:val="auto"/>
          <w:sz w:val="32"/>
          <w:szCs w:val="32"/>
          <w:highlight w:val="none"/>
          <w:lang w:val="en-US" w:eastAsia="zh-CN"/>
        </w:rPr>
        <w:t>二是</w:t>
      </w:r>
      <w:r>
        <w:rPr>
          <w:rFonts w:hint="default" w:ascii="仿宋_GB2312" w:hAnsi="仿宋_GB2312" w:eastAsia="仿宋_GB2312" w:cs="仿宋_GB2312"/>
          <w:color w:val="auto"/>
          <w:sz w:val="32"/>
          <w:szCs w:val="32"/>
          <w:highlight w:val="none"/>
          <w:lang w:val="en-US" w:eastAsia="zh-CN"/>
        </w:rPr>
        <w:t>界定裁量情形： 对适用“从轻”、“一般”、“从重”处罚档次的具体情形进行了描述，如“具有从轻情形且无从重情形的”、“无从轻从重情形的；或者同时具有从轻从重情形综合裁量适用本档的”、“具有从重情形综合裁量适用本档的”等，为执法人员判断情节提供了指引。</w:t>
      </w:r>
    </w:p>
    <w:p w14:paraId="3BA585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textAlignment w:val="auto"/>
        <w:rPr>
          <w:color w:val="auto"/>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highlight w:val="none"/>
          <w:lang w:val="en-US" w:eastAsia="zh-CN"/>
        </w:rPr>
        <w:t>过罚相当，体现公正。</w:t>
      </w:r>
      <w:r>
        <w:rPr>
          <w:rFonts w:hint="default" w:ascii="楷体_GB2312" w:hAnsi="楷体_GB2312" w:eastAsia="楷体_GB2312" w:cs="楷体_GB2312"/>
          <w:b/>
          <w:bCs/>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在设定裁量标准时，始终坚持过罚相当原则。一是</w:t>
      </w:r>
      <w:r>
        <w:rPr>
          <w:rFonts w:hint="default" w:ascii="仿宋_GB2312" w:hAnsi="仿宋_GB2312" w:eastAsia="仿宋_GB2312" w:cs="仿宋_GB2312"/>
          <w:color w:val="auto"/>
          <w:sz w:val="32"/>
          <w:szCs w:val="32"/>
          <w:highlight w:val="none"/>
          <w:lang w:val="en-US" w:eastAsia="zh-CN"/>
        </w:rPr>
        <w:t>考虑违法层级： 对于涉及不同级别保护名录（如国家级、省级畜禽遗传资源）的违法行为，设定了不同的处罚起点和幅度。</w:t>
      </w:r>
      <w:r>
        <w:rPr>
          <w:rFonts w:hint="eastAsia" w:ascii="仿宋_GB2312" w:hAnsi="仿宋_GB2312" w:eastAsia="仿宋_GB2312" w:cs="仿宋_GB2312"/>
          <w:color w:val="auto"/>
          <w:sz w:val="32"/>
          <w:szCs w:val="32"/>
          <w:highlight w:val="none"/>
          <w:lang w:val="en-US" w:eastAsia="zh-CN"/>
        </w:rPr>
        <w:t>二是</w:t>
      </w:r>
      <w:r>
        <w:rPr>
          <w:rFonts w:hint="default" w:ascii="仿宋_GB2312" w:hAnsi="仿宋_GB2312" w:eastAsia="仿宋_GB2312" w:cs="仿宋_GB2312"/>
          <w:color w:val="auto"/>
          <w:sz w:val="32"/>
          <w:szCs w:val="32"/>
          <w:highlight w:val="none"/>
          <w:lang w:val="en-US" w:eastAsia="zh-CN"/>
        </w:rPr>
        <w:t>衔接危害后果： 将危害后果的严重程度作为重要裁量因素，例如在《江西省畜禽养殖管理办法》相关处罚中，对“危害后果不严重的”和“危害后果严重的”设定了不同的罚款区间。</w:t>
      </w:r>
      <w:r>
        <w:rPr>
          <w:rFonts w:hint="eastAsia" w:ascii="仿宋_GB2312" w:hAnsi="仿宋_GB2312" w:eastAsia="仿宋_GB2312" w:cs="仿宋_GB2312"/>
          <w:color w:val="auto"/>
          <w:sz w:val="32"/>
          <w:szCs w:val="32"/>
          <w:highlight w:val="none"/>
          <w:lang w:val="en-US" w:eastAsia="zh-CN"/>
        </w:rPr>
        <w:t>三是</w:t>
      </w:r>
      <w:r>
        <w:rPr>
          <w:rFonts w:hint="default" w:ascii="仿宋_GB2312" w:hAnsi="仿宋_GB2312" w:eastAsia="仿宋_GB2312" w:cs="仿宋_GB2312"/>
          <w:color w:val="auto"/>
          <w:sz w:val="32"/>
          <w:szCs w:val="32"/>
          <w:highlight w:val="none"/>
          <w:lang w:val="en-US" w:eastAsia="zh-CN"/>
        </w:rPr>
        <w:t>区分主观状态： 将是否“立即停止违法行为”、“期限内已改正”、“拒不改正”等反映当事人主观态度和纠正行为的情节纳入裁量考量。</w:t>
      </w:r>
    </w:p>
    <w:p w14:paraId="48396A6C">
      <w:pPr>
        <w:numPr>
          <w:ilvl w:val="0"/>
          <w:numId w:val="0"/>
        </w:numPr>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w:t>
      </w:r>
      <w:r>
        <w:rPr>
          <w:rFonts w:hint="default" w:ascii="楷体_GB2312" w:hAnsi="楷体_GB2312" w:eastAsia="楷体_GB2312" w:cs="楷体_GB2312"/>
          <w:b/>
          <w:bCs/>
          <w:color w:val="auto"/>
          <w:sz w:val="32"/>
          <w:szCs w:val="32"/>
          <w:highlight w:val="none"/>
          <w:lang w:val="en-US" w:eastAsia="zh-CN"/>
        </w:rPr>
        <w:t>衔接法律，动态更新。</w:t>
      </w:r>
      <w:r>
        <w:rPr>
          <w:rFonts w:hint="default" w:ascii="仿宋_GB2312" w:hAnsi="仿宋_GB2312" w:eastAsia="仿宋_GB2312" w:cs="仿宋_GB2312"/>
          <w:color w:val="auto"/>
          <w:sz w:val="32"/>
          <w:szCs w:val="32"/>
          <w:highlight w:val="none"/>
          <w:lang w:val="en-US" w:eastAsia="zh-CN"/>
        </w:rPr>
        <w:t>《裁量基准》严格依据现行有效的法律、法规、规章设定，确保了合法性。同时，也为未来法律法规的修订预留了空间，将根据上位法的变动及时进行动态调整和完善。</w:t>
      </w:r>
    </w:p>
    <w:p w14:paraId="1AB88E5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（五）便于操作，提升效能。</w:t>
      </w:r>
      <w:r>
        <w:rPr>
          <w:rFonts w:hint="default"/>
          <w:color w:val="auto"/>
        </w:rPr>
        <w:t> </w:t>
      </w:r>
      <w:r>
        <w:rPr>
          <w:rFonts w:hint="default" w:ascii="仿宋_GB2312" w:hAnsi="仿宋_GB2312" w:eastAsia="仿宋_GB2312" w:cs="仿宋_GB2312"/>
          <w:color w:val="auto"/>
          <w:sz w:val="32"/>
          <w:szCs w:val="32"/>
          <w:highlight w:val="none"/>
          <w:lang w:val="en-US" w:eastAsia="zh-CN"/>
        </w:rPr>
        <w:t>统一的裁量标准为全市各级农业农村主管部门及其综合行政执法机构提供了明确、具体的执法尺度和办案指引，有助于统一执法标准，规范执法行为，减少执法争议，提升执法效率和规范化水平。</w:t>
      </w:r>
    </w:p>
    <w:p w14:paraId="64C110C9">
      <w:pPr>
        <w:keepNext w:val="0"/>
        <w:keepLines w:val="0"/>
        <w:pageBreakBefore w:val="0"/>
        <w:widowControl w:val="0"/>
        <w:kinsoku/>
        <w:wordWrap/>
        <w:overflowPunct/>
        <w:topLinePunct w:val="0"/>
        <w:autoSpaceDE/>
        <w:autoSpaceDN/>
        <w:bidi w:val="0"/>
        <w:adjustRightInd/>
        <w:snapToGrid/>
        <w:spacing w:beforeLines="0" w:afterLines="0" w:line="580" w:lineRule="exact"/>
        <w:ind w:firstLine="420" w:firstLineChars="200"/>
        <w:textAlignment w:val="auto"/>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NmU1ZDBkYjgyMzFjY2MyYzI5OTViZmEyNzk5MTAifQ=="/>
  </w:docVars>
  <w:rsids>
    <w:rsidRoot w:val="6A0D64B0"/>
    <w:rsid w:val="02203B3A"/>
    <w:rsid w:val="032F04D8"/>
    <w:rsid w:val="03950CBF"/>
    <w:rsid w:val="0C6B797F"/>
    <w:rsid w:val="0E607747"/>
    <w:rsid w:val="139719D4"/>
    <w:rsid w:val="15507CAF"/>
    <w:rsid w:val="16D52CED"/>
    <w:rsid w:val="21B847DB"/>
    <w:rsid w:val="255836EF"/>
    <w:rsid w:val="2D9E60D7"/>
    <w:rsid w:val="2DF16206"/>
    <w:rsid w:val="308D6F4D"/>
    <w:rsid w:val="31ED3189"/>
    <w:rsid w:val="386A5DEB"/>
    <w:rsid w:val="39FF7EFD"/>
    <w:rsid w:val="3E3F2B92"/>
    <w:rsid w:val="3F830C98"/>
    <w:rsid w:val="40FE0F0E"/>
    <w:rsid w:val="47CF14F8"/>
    <w:rsid w:val="4A6C513B"/>
    <w:rsid w:val="4C8E694C"/>
    <w:rsid w:val="547556AA"/>
    <w:rsid w:val="55EE77A3"/>
    <w:rsid w:val="598D29D8"/>
    <w:rsid w:val="5F546974"/>
    <w:rsid w:val="61413A18"/>
    <w:rsid w:val="62954153"/>
    <w:rsid w:val="64514357"/>
    <w:rsid w:val="65321BE0"/>
    <w:rsid w:val="668138C4"/>
    <w:rsid w:val="699B77F3"/>
    <w:rsid w:val="6A0D64B0"/>
    <w:rsid w:val="6A4610AD"/>
    <w:rsid w:val="6AD4713C"/>
    <w:rsid w:val="72E94CCB"/>
    <w:rsid w:val="748A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paragraph" w:customStyle="1" w:styleId="6">
    <w:name w:val="普通(网站)1"/>
    <w:basedOn w:val="1"/>
    <w:unhideWhenUsed/>
    <w:qFormat/>
    <w:uiPriority w:val="0"/>
    <w:pPr>
      <w:widowControl/>
      <w:spacing w:beforeLines="0" w:afterLines="0"/>
      <w:jc w:val="left"/>
    </w:pPr>
    <w:rPr>
      <w:rFonts w:hint="default"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2806</Words>
  <Characters>2833</Characters>
  <Lines>0</Lines>
  <Paragraphs>0</Paragraphs>
  <TotalTime>21</TotalTime>
  <ScaleCrop>false</ScaleCrop>
  <LinksUpToDate>false</LinksUpToDate>
  <CharactersWithSpaces>2854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2025-11-19T03:36:00Z</dcterms:created>
  <dc:creator>夏日里的春天</dc:creator>
  <cp:lastModifiedBy>元庆</cp:lastModifiedBy>
  <dcterms:modified xsi:type="dcterms:W3CDTF">2025-12-01T06:02:16Z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12827A3D8FC849B683ED39B04E224F62_11</vt:lpwstr>
  </property>
  <property fmtid="{D5CDD505-2E9C-101B-9397-08002B2CF9AE}" pid="4" name="KSOTemplateDocerSaveRecord">
    <vt:lpwstr>eyJoZGlkIjoiNjNlN2Y2ZTdjM2U4MzM3Mjk4MDMyM2NkMmQ1OTkzMzkiLCJ1c2VySWQiOiIxMTA1Njk3NjkyIn0=</vt:lpwstr>
  </property>
</Properties>
</file>